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FBF51">
      <w:pPr>
        <w:widowControl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2026年北京市汽油机油、柴油机油产品质量监督抽查</w:t>
      </w:r>
    </w:p>
    <w:p w14:paraId="5148D021">
      <w:pPr>
        <w:widowControl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实施细则</w:t>
      </w:r>
    </w:p>
    <w:p w14:paraId="164BAD02">
      <w:pPr>
        <w:widowControl w:val="0"/>
        <w:spacing w:after="0" w:line="240" w:lineRule="auto"/>
        <w:jc w:val="both"/>
        <w:rPr>
          <w:rFonts w:ascii="Times New Roman" w:hAnsi="Times New Roman" w:eastAsia="宋体" w:cs="Times New Roman"/>
          <w:color w:val="000000"/>
          <w:kern w:val="2"/>
          <w:sz w:val="21"/>
          <w:szCs w:val="21"/>
          <w:lang w:eastAsia="zh-CN"/>
        </w:rPr>
      </w:pPr>
    </w:p>
    <w:p w14:paraId="71481832">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1 抽样方法</w:t>
      </w:r>
    </w:p>
    <w:p w14:paraId="30A7837D">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以随机抽样的方式在被抽样生产者、销售者的待销产品中抽取。</w:t>
      </w:r>
    </w:p>
    <w:p w14:paraId="489A5C3B">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随机数一般可使用随机数表等方法产生。</w:t>
      </w:r>
    </w:p>
    <w:p w14:paraId="525A19D3">
      <w:pPr>
        <w:widowControl w:val="0"/>
        <w:spacing w:after="0" w:line="440" w:lineRule="exact"/>
        <w:ind w:firstLine="420" w:firstLineChars="200"/>
        <w:jc w:val="both"/>
        <w:rPr>
          <w:rFonts w:hint="eastAsia"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抽样基数满足抽样数量即可，应按GB/T 4756—2015《石油液体手工取样法》进行取样，</w:t>
      </w:r>
      <w:r>
        <w:rPr>
          <w:rFonts w:hint="eastAsia" w:ascii="Times New Roman" w:hAnsi="Times New Roman" w:eastAsia="宋体" w:cs="Times New Roman"/>
          <w:color w:val="000000"/>
          <w:kern w:val="2"/>
          <w:sz w:val="21"/>
          <w:szCs w:val="21"/>
          <w:lang w:eastAsia="zh-CN"/>
        </w:rPr>
        <w:t>每批次产品抽取不少于2个独立包装、总量不小于</w:t>
      </w:r>
      <w:r>
        <w:rPr>
          <w:rFonts w:hint="eastAsia" w:ascii="Times New Roman" w:hAnsi="Times New Roman" w:eastAsia="宋体" w:cs="Times New Roman"/>
          <w:color w:val="000000"/>
          <w:kern w:val="2"/>
          <w:sz w:val="21"/>
          <w:szCs w:val="21"/>
          <w:lang w:val="en-US" w:eastAsia="zh-CN"/>
        </w:rPr>
        <w:t>7kg（或L）</w:t>
      </w:r>
      <w:r>
        <w:rPr>
          <w:rFonts w:hint="eastAsia" w:ascii="Times New Roman" w:hAnsi="Times New Roman" w:eastAsia="宋体" w:cs="Times New Roman"/>
          <w:color w:val="000000"/>
          <w:kern w:val="2"/>
          <w:sz w:val="21"/>
          <w:szCs w:val="21"/>
          <w:lang w:eastAsia="zh-CN"/>
        </w:rPr>
        <w:t>的样品，其中</w:t>
      </w:r>
      <w:r>
        <w:rPr>
          <w:rFonts w:hint="eastAsia" w:ascii="Times New Roman" w:hAnsi="Times New Roman" w:eastAsia="宋体" w:cs="Times New Roman"/>
          <w:color w:val="000000"/>
          <w:kern w:val="2"/>
          <w:sz w:val="21"/>
          <w:szCs w:val="21"/>
          <w:lang w:val="en-US" w:eastAsia="zh-CN"/>
        </w:rPr>
        <w:t>3.5kg（或L）</w:t>
      </w:r>
      <w:r>
        <w:rPr>
          <w:rFonts w:hint="eastAsia" w:ascii="Times New Roman" w:hAnsi="Times New Roman" w:eastAsia="宋体" w:cs="Times New Roman"/>
          <w:color w:val="000000"/>
          <w:kern w:val="2"/>
          <w:sz w:val="21"/>
          <w:szCs w:val="21"/>
          <w:lang w:eastAsia="zh-CN"/>
        </w:rPr>
        <w:t>为检验</w:t>
      </w:r>
      <w:r>
        <w:rPr>
          <w:rFonts w:hint="eastAsia" w:ascii="Times New Roman" w:hAnsi="Times New Roman" w:eastAsia="宋体" w:cs="Times New Roman"/>
          <w:color w:val="000000"/>
          <w:kern w:val="2"/>
          <w:sz w:val="21"/>
          <w:szCs w:val="21"/>
          <w:lang w:val="en-US" w:eastAsia="zh-CN"/>
        </w:rPr>
        <w:t>用</w:t>
      </w:r>
      <w:r>
        <w:rPr>
          <w:rFonts w:hint="eastAsia" w:ascii="Times New Roman" w:hAnsi="Times New Roman" w:eastAsia="宋体" w:cs="Times New Roman"/>
          <w:color w:val="000000"/>
          <w:kern w:val="2"/>
          <w:sz w:val="21"/>
          <w:szCs w:val="21"/>
          <w:lang w:eastAsia="zh-CN"/>
        </w:rPr>
        <w:t>样品，</w:t>
      </w:r>
      <w:r>
        <w:rPr>
          <w:rFonts w:hint="eastAsia" w:ascii="Times New Roman" w:hAnsi="Times New Roman" w:eastAsia="宋体" w:cs="Times New Roman"/>
          <w:color w:val="000000"/>
          <w:kern w:val="2"/>
          <w:sz w:val="21"/>
          <w:szCs w:val="21"/>
          <w:lang w:val="en-US" w:eastAsia="zh-CN"/>
        </w:rPr>
        <w:t>另3.5kg（或L）</w:t>
      </w:r>
      <w:r>
        <w:rPr>
          <w:rFonts w:hint="eastAsia" w:ascii="Times New Roman" w:hAnsi="Times New Roman" w:eastAsia="宋体" w:cs="Times New Roman"/>
          <w:color w:val="000000"/>
          <w:kern w:val="2"/>
          <w:sz w:val="21"/>
          <w:szCs w:val="21"/>
          <w:lang w:eastAsia="zh-CN"/>
        </w:rPr>
        <w:t>为备用样品。</w:t>
      </w:r>
    </w:p>
    <w:p w14:paraId="154644B0">
      <w:pPr>
        <w:widowControl w:val="0"/>
        <w:spacing w:after="0" w:line="240" w:lineRule="auto"/>
        <w:ind w:firstLine="420" w:firstLineChars="200"/>
        <w:jc w:val="both"/>
        <w:rPr>
          <w:rFonts w:hint="eastAsia" w:ascii="Times New Roman" w:hAnsi="Times New Roman" w:eastAsia="宋体" w:cs="Times New Roman"/>
          <w:color w:val="000000"/>
          <w:kern w:val="2"/>
          <w:sz w:val="21"/>
          <w:szCs w:val="21"/>
          <w:lang w:eastAsia="zh-CN"/>
        </w:rPr>
      </w:pPr>
    </w:p>
    <w:p w14:paraId="18AE0C9B">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2 检验依据</w:t>
      </w:r>
    </w:p>
    <w:p w14:paraId="4AB04B34">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2.1 汽油机油</w:t>
      </w:r>
    </w:p>
    <w:tbl>
      <w:tblPr>
        <w:tblStyle w:val="3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2702"/>
        <w:gridCol w:w="2160"/>
        <w:gridCol w:w="3175"/>
      </w:tblGrid>
      <w:tr w14:paraId="248B6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460" w:type="pct"/>
            <w:noWrap w:val="0"/>
            <w:tcMar>
              <w:top w:w="-1" w:type="dxa"/>
              <w:left w:w="-1" w:type="dxa"/>
              <w:bottom w:w="-1" w:type="dxa"/>
              <w:right w:w="-1" w:type="dxa"/>
            </w:tcMar>
            <w:vAlign w:val="center"/>
          </w:tcPr>
          <w:p w14:paraId="28C7CF76">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序号</w:t>
            </w:r>
          </w:p>
        </w:tc>
        <w:tc>
          <w:tcPr>
            <w:tcW w:w="1526" w:type="pct"/>
            <w:noWrap w:val="0"/>
            <w:tcMar>
              <w:top w:w="-1" w:type="dxa"/>
              <w:left w:w="-1" w:type="dxa"/>
              <w:bottom w:w="-1" w:type="dxa"/>
              <w:right w:w="-1" w:type="dxa"/>
            </w:tcMar>
            <w:vAlign w:val="center"/>
          </w:tcPr>
          <w:p w14:paraId="29B34380">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检验项目</w:t>
            </w:r>
          </w:p>
        </w:tc>
        <w:tc>
          <w:tcPr>
            <w:tcW w:w="1220" w:type="pct"/>
            <w:noWrap w:val="0"/>
            <w:tcMar>
              <w:top w:w="-1" w:type="dxa"/>
              <w:left w:w="-1" w:type="dxa"/>
              <w:bottom w:w="-1" w:type="dxa"/>
              <w:right w:w="-1" w:type="dxa"/>
            </w:tcMar>
            <w:vAlign w:val="center"/>
          </w:tcPr>
          <w:p w14:paraId="2AB34FB0">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检验依据</w:t>
            </w:r>
          </w:p>
        </w:tc>
        <w:tc>
          <w:tcPr>
            <w:tcW w:w="1793" w:type="pct"/>
            <w:noWrap w:val="0"/>
            <w:tcMar>
              <w:top w:w="-1" w:type="dxa"/>
              <w:left w:w="-1" w:type="dxa"/>
              <w:bottom w:w="-1" w:type="dxa"/>
              <w:right w:w="-1" w:type="dxa"/>
            </w:tcMar>
            <w:vAlign w:val="center"/>
          </w:tcPr>
          <w:p w14:paraId="678123E6">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检验方法</w:t>
            </w:r>
          </w:p>
        </w:tc>
      </w:tr>
      <w:tr w14:paraId="206A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6FD56B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FC475B9">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运动黏度（100℃）</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4FF9D1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CE2CCD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265—1988</w:t>
            </w:r>
          </w:p>
        </w:tc>
      </w:tr>
      <w:tr w14:paraId="2B81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D5371B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974FFE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低温动力黏度</w:t>
            </w:r>
          </w:p>
          <w:p w14:paraId="48E47CE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低温启动黏度</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70391A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5F25CB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6538—2022</w:t>
            </w:r>
          </w:p>
        </w:tc>
      </w:tr>
      <w:tr w14:paraId="153F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071013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3</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0A3B96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低温泵送黏度</w:t>
            </w:r>
          </w:p>
          <w:p w14:paraId="4AC6952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（或边界泵送温度）</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F2D509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C24841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NB/SH/T 0562—2013</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（或GB/T 9171—1988）</w:t>
            </w:r>
          </w:p>
        </w:tc>
      </w:tr>
      <w:tr w14:paraId="217EE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4A0761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4</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6F1C59F">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闪点（开口）</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7E1585">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EBD659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3536—2008</w:t>
            </w:r>
          </w:p>
        </w:tc>
      </w:tr>
      <w:tr w14:paraId="0597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F6D5CC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5</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DFA8B7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倾点</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B7938E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5245F7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3535—2025</w:t>
            </w:r>
          </w:p>
        </w:tc>
      </w:tr>
      <w:tr w14:paraId="0E77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2949E7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6</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33EAA8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泡沫性</w:t>
            </w:r>
          </w:p>
          <w:p w14:paraId="65E3D1D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泡沫特性</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3C2A77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13FB12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12579—2002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0722—2002</w:t>
            </w:r>
          </w:p>
        </w:tc>
      </w:tr>
      <w:tr w14:paraId="5562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1E656A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7</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E342E1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水分</w:t>
            </w:r>
          </w:p>
          <w:p w14:paraId="43890BFF">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水含量</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CDE56C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D35558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260—2016</w:t>
            </w:r>
          </w:p>
        </w:tc>
      </w:tr>
      <w:tr w14:paraId="4AC5B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22A557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8</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98D856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高温高剪切黏度</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708475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CF30B9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SH/T 0618—1995</w:t>
            </w:r>
          </w:p>
          <w:p w14:paraId="0715079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eastAsia" w:ascii="Times New Roman" w:hAnsi="Times New Roman" w:cs="Times New Roman"/>
                <w:b w:val="0"/>
                <w:bCs/>
                <w:sz w:val="21"/>
                <w:szCs w:val="21"/>
                <w:lang w:val="en-US" w:eastAsia="zh-CN"/>
              </w:rPr>
              <w:t>SH/T 0751—2005</w:t>
            </w:r>
          </w:p>
        </w:tc>
      </w:tr>
      <w:tr w14:paraId="31AB3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76AE7EF">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9</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C3310C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蒸发损失</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A2851C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49A145">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NB/SH/T 0059—2010</w:t>
            </w:r>
          </w:p>
        </w:tc>
      </w:tr>
      <w:tr w14:paraId="6242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3BBCE8F">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eastAsia="zh-CN"/>
              </w:rPr>
            </w:pPr>
            <w:r>
              <w:rPr>
                <w:rFonts w:hint="default" w:ascii="Times New Roman" w:hAnsi="Times New Roman" w:eastAsia="宋体" w:cs="Times New Roman"/>
                <w:b w:val="0"/>
                <w:bCs/>
                <w:sz w:val="21"/>
                <w:szCs w:val="21"/>
              </w:rPr>
              <w:t>1</w:t>
            </w:r>
            <w:r>
              <w:rPr>
                <w:rFonts w:hint="default" w:ascii="Times New Roman" w:hAnsi="Times New Roman" w:eastAsia="宋体" w:cs="Times New Roman"/>
                <w:b w:val="0"/>
                <w:bCs/>
                <w:sz w:val="21"/>
                <w:szCs w:val="21"/>
                <w:lang w:val="en-US" w:eastAsia="zh-CN"/>
              </w:rPr>
              <w:t>0</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037BE9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黏度指数</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23A78A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291778B">
            <w:pPr>
              <w:snapToGrid w:val="0"/>
              <w:spacing w:before="0" w:after="0" w:line="240" w:lineRule="auto"/>
              <w:ind w:left="0" w:leftChars="0" w:right="0" w:rightChars="0" w:firstLine="0" w:firstLineChars="0"/>
              <w:jc w:val="center"/>
              <w:rPr>
                <w:rFonts w:hint="eastAsia" w:ascii="Times New Roman" w:hAnsi="Times New Roman" w:eastAsia="宋体" w:cs="Times New Roman"/>
                <w:b w:val="0"/>
                <w:bCs/>
                <w:sz w:val="21"/>
                <w:szCs w:val="21"/>
                <w:lang w:eastAsia="zh-CN"/>
              </w:rPr>
            </w:pPr>
            <w:r>
              <w:rPr>
                <w:rFonts w:hint="default" w:ascii="Times New Roman" w:hAnsi="Times New Roman" w:eastAsia="宋体" w:cs="Times New Roman"/>
                <w:b w:val="0"/>
                <w:bCs/>
                <w:sz w:val="21"/>
                <w:szCs w:val="21"/>
              </w:rPr>
              <w:t>GB/T 2541—198</w:t>
            </w:r>
            <w:r>
              <w:rPr>
                <w:rFonts w:hint="eastAsia" w:ascii="Times New Roman" w:hAnsi="Times New Roman" w:cs="Times New Roman"/>
                <w:b w:val="0"/>
                <w:bCs/>
                <w:sz w:val="21"/>
                <w:szCs w:val="21"/>
                <w:lang w:val="en-US" w:eastAsia="zh-CN"/>
              </w:rPr>
              <w:t>1</w:t>
            </w:r>
          </w:p>
        </w:tc>
      </w:tr>
      <w:tr w14:paraId="2E68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7D2C5F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A1567D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机械杂质</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803630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8A1851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511—2010</w:t>
            </w:r>
          </w:p>
        </w:tc>
      </w:tr>
      <w:tr w14:paraId="00040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46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47B824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eastAsia="zh-CN"/>
              </w:rPr>
            </w:pPr>
            <w:r>
              <w:rPr>
                <w:rFonts w:hint="default" w:ascii="Times New Roman" w:hAnsi="Times New Roman" w:eastAsia="宋体" w:cs="Times New Roman"/>
                <w:b w:val="0"/>
                <w:bCs/>
                <w:sz w:val="21"/>
                <w:szCs w:val="21"/>
              </w:rPr>
              <w:t>1</w:t>
            </w:r>
            <w:r>
              <w:rPr>
                <w:rFonts w:hint="default" w:ascii="Times New Roman" w:hAnsi="Times New Roman" w:eastAsia="宋体" w:cs="Times New Roman"/>
                <w:b w:val="0"/>
                <w:bCs/>
                <w:sz w:val="21"/>
                <w:szCs w:val="21"/>
                <w:lang w:val="en-US" w:eastAsia="zh-CN"/>
              </w:rPr>
              <w:t>2</w:t>
            </w:r>
          </w:p>
        </w:tc>
        <w:tc>
          <w:tcPr>
            <w:tcW w:w="1526"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8FB76A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磷</w:t>
            </w:r>
          </w:p>
          <w:p w14:paraId="7F7B357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磷含量</w:t>
            </w:r>
          </w:p>
        </w:tc>
        <w:tc>
          <w:tcPr>
            <w:tcW w:w="1220"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A4779CD">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11121—2006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11121—2025</w:t>
            </w:r>
          </w:p>
        </w:tc>
        <w:tc>
          <w:tcPr>
            <w:tcW w:w="1793" w:type="pct"/>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61202E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lang w:val="en-US" w:eastAsia="zh-CN"/>
              </w:rPr>
              <w:t>NB/SH/T 0824—2010</w:t>
            </w:r>
          </w:p>
          <w:p w14:paraId="2213FB3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17476—2023</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0631—1996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0749—2004</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0296—1992</w:t>
            </w:r>
          </w:p>
        </w:tc>
      </w:tr>
    </w:tbl>
    <w:p w14:paraId="3B823D2B">
      <w:pPr>
        <w:widowControl w:val="0"/>
        <w:spacing w:after="0" w:line="240" w:lineRule="auto"/>
        <w:jc w:val="both"/>
        <w:rPr>
          <w:rFonts w:ascii="Times New Roman" w:hAnsi="Times New Roman" w:eastAsia="宋体" w:cs="Times New Roman"/>
          <w:color w:val="000000"/>
          <w:kern w:val="2"/>
          <w:sz w:val="21"/>
          <w:szCs w:val="21"/>
          <w:lang w:eastAsia="zh-CN"/>
        </w:rPr>
      </w:pPr>
    </w:p>
    <w:p w14:paraId="1F16C0FE">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2.2 柴油机油</w:t>
      </w:r>
    </w:p>
    <w:tbl>
      <w:tblPr>
        <w:tblStyle w:val="34"/>
        <w:tblW w:w="8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2701"/>
        <w:gridCol w:w="2161"/>
        <w:gridCol w:w="3174"/>
      </w:tblGrid>
      <w:tr w14:paraId="2602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blHeader/>
          <w:jc w:val="center"/>
        </w:trPr>
        <w:tc>
          <w:tcPr>
            <w:tcW w:w="0" w:type="auto"/>
            <w:noWrap w:val="0"/>
            <w:tcMar>
              <w:top w:w="-1" w:type="dxa"/>
              <w:left w:w="-1" w:type="dxa"/>
              <w:bottom w:w="-1" w:type="dxa"/>
              <w:right w:w="-1" w:type="dxa"/>
            </w:tcMar>
            <w:vAlign w:val="center"/>
          </w:tcPr>
          <w:p w14:paraId="781B9946">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序号</w:t>
            </w:r>
          </w:p>
        </w:tc>
        <w:tc>
          <w:tcPr>
            <w:tcW w:w="0" w:type="auto"/>
            <w:noWrap w:val="0"/>
            <w:tcMar>
              <w:top w:w="-1" w:type="dxa"/>
              <w:left w:w="-1" w:type="dxa"/>
              <w:bottom w:w="-1" w:type="dxa"/>
              <w:right w:w="-1" w:type="dxa"/>
            </w:tcMar>
            <w:vAlign w:val="center"/>
          </w:tcPr>
          <w:p w14:paraId="02646EB0">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检验项目</w:t>
            </w:r>
          </w:p>
        </w:tc>
        <w:tc>
          <w:tcPr>
            <w:tcW w:w="0" w:type="auto"/>
            <w:noWrap w:val="0"/>
            <w:tcMar>
              <w:top w:w="-1" w:type="dxa"/>
              <w:left w:w="-1" w:type="dxa"/>
              <w:bottom w:w="-1" w:type="dxa"/>
              <w:right w:w="-1" w:type="dxa"/>
            </w:tcMar>
            <w:vAlign w:val="center"/>
          </w:tcPr>
          <w:p w14:paraId="662A3D00">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检验依据</w:t>
            </w:r>
          </w:p>
        </w:tc>
        <w:tc>
          <w:tcPr>
            <w:tcW w:w="3174" w:type="dxa"/>
            <w:noWrap w:val="0"/>
            <w:tcMar>
              <w:top w:w="-1" w:type="dxa"/>
              <w:left w:w="-1" w:type="dxa"/>
              <w:bottom w:w="-1" w:type="dxa"/>
              <w:right w:w="-1" w:type="dxa"/>
            </w:tcMar>
            <w:vAlign w:val="center"/>
          </w:tcPr>
          <w:p w14:paraId="0213F10C">
            <w:pPr>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检验方法</w:t>
            </w:r>
          </w:p>
        </w:tc>
      </w:tr>
      <w:tr w14:paraId="05838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61D5D99">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C01DC7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运动黏度（100℃）</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65700E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C9A1B7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265—1988</w:t>
            </w:r>
          </w:p>
        </w:tc>
      </w:tr>
      <w:tr w14:paraId="33DD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4EA84E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4E6E77D">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低温动力黏度</w:t>
            </w:r>
          </w:p>
          <w:p w14:paraId="0A2C907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低温启动黏度</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C4A5EE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C807B5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6538—2022</w:t>
            </w:r>
          </w:p>
        </w:tc>
      </w:tr>
      <w:tr w14:paraId="20942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230DBD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3</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F7AA73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低温泵送黏度</w:t>
            </w:r>
          </w:p>
          <w:p w14:paraId="7BD6992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（或边界泵送温度）</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119F2A7">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D89E72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NB/SH/T 0562—2013</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（或GB/T 9171—1988）</w:t>
            </w:r>
          </w:p>
        </w:tc>
      </w:tr>
      <w:tr w14:paraId="144A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B6781E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4</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78FB68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闪点（开口）</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5D5BB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D8229C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3536—2008</w:t>
            </w:r>
          </w:p>
        </w:tc>
      </w:tr>
      <w:tr w14:paraId="66174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05FFCA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5</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42AA44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倾点</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9E3C7E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165BF5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3535—2025</w:t>
            </w:r>
          </w:p>
        </w:tc>
      </w:tr>
      <w:tr w14:paraId="62D1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D56273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6</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76A736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泡沫性</w:t>
            </w:r>
          </w:p>
          <w:p w14:paraId="64AF8A3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eastAsia="zh-CN"/>
              </w:rPr>
            </w:pPr>
            <w:r>
              <w:rPr>
                <w:rFonts w:hint="default" w:ascii="Times New Roman" w:hAnsi="Times New Roman" w:eastAsia="宋体" w:cs="Times New Roman"/>
                <w:b w:val="0"/>
                <w:bCs/>
                <w:sz w:val="21"/>
                <w:szCs w:val="21"/>
                <w:lang w:val="en-US" w:eastAsia="zh-CN"/>
              </w:rPr>
              <w:t>泡沫特性</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E60443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3EA72E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12579—2002</w:t>
            </w:r>
          </w:p>
        </w:tc>
      </w:tr>
      <w:tr w14:paraId="5F03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1F9C32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7</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E3E6F7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水分</w:t>
            </w:r>
          </w:p>
          <w:p w14:paraId="37F0866D">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水含量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43EA8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C0F1303">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260—2016</w:t>
            </w:r>
          </w:p>
        </w:tc>
      </w:tr>
      <w:tr w14:paraId="55F2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7C6847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8</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AE528A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高温高剪切黏度</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64FC31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9112C7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SH/T 0618—1995</w:t>
            </w:r>
          </w:p>
          <w:p w14:paraId="715B380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eastAsia" w:ascii="Times New Roman" w:hAnsi="Times New Roman" w:cs="Times New Roman"/>
                <w:b w:val="0"/>
                <w:bCs/>
                <w:sz w:val="21"/>
                <w:szCs w:val="21"/>
                <w:lang w:val="en-US" w:eastAsia="zh-CN"/>
              </w:rPr>
              <w:t>SH/T 0751—2005</w:t>
            </w:r>
          </w:p>
        </w:tc>
      </w:tr>
      <w:tr w14:paraId="0CA8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0E6996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9</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8F851C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蒸发损失</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39A742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CB521E2">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NB/SH/T 0059—2010</w:t>
            </w:r>
          </w:p>
        </w:tc>
      </w:tr>
      <w:tr w14:paraId="2560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1EE923C">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eastAsia="zh-CN"/>
              </w:rPr>
            </w:pPr>
            <w:r>
              <w:rPr>
                <w:rFonts w:hint="default" w:ascii="Times New Roman" w:hAnsi="Times New Roman" w:eastAsia="宋体" w:cs="Times New Roman"/>
                <w:b w:val="0"/>
                <w:bCs/>
                <w:sz w:val="21"/>
                <w:szCs w:val="21"/>
              </w:rPr>
              <w:t>1</w:t>
            </w:r>
            <w:r>
              <w:rPr>
                <w:rFonts w:hint="default" w:ascii="Times New Roman" w:hAnsi="Times New Roman" w:eastAsia="宋体" w:cs="Times New Roman"/>
                <w:b w:val="0"/>
                <w:bCs/>
                <w:sz w:val="21"/>
                <w:szCs w:val="21"/>
                <w:lang w:val="en-US" w:eastAsia="zh-CN"/>
              </w:rPr>
              <w:t>0</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F50895E">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黏度指数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DE7506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2D69EE3">
            <w:pPr>
              <w:snapToGrid w:val="0"/>
              <w:spacing w:before="0" w:after="0" w:line="240" w:lineRule="auto"/>
              <w:ind w:left="0" w:leftChars="0" w:right="0" w:rightChars="0" w:firstLine="0" w:firstLineChars="0"/>
              <w:jc w:val="center"/>
              <w:rPr>
                <w:rFonts w:hint="eastAsia" w:ascii="Times New Roman" w:hAnsi="Times New Roman" w:eastAsia="宋体" w:cs="Times New Roman"/>
                <w:b w:val="0"/>
                <w:bCs/>
                <w:sz w:val="21"/>
                <w:szCs w:val="21"/>
                <w:lang w:eastAsia="zh-CN"/>
              </w:rPr>
            </w:pPr>
            <w:r>
              <w:rPr>
                <w:rFonts w:hint="default" w:ascii="Times New Roman" w:hAnsi="Times New Roman" w:eastAsia="宋体" w:cs="Times New Roman"/>
                <w:b w:val="0"/>
                <w:bCs/>
                <w:sz w:val="21"/>
                <w:szCs w:val="21"/>
              </w:rPr>
              <w:t>GB/T 2541—198</w:t>
            </w:r>
            <w:r>
              <w:rPr>
                <w:rFonts w:hint="eastAsia" w:ascii="Times New Roman" w:hAnsi="Times New Roman" w:cs="Times New Roman"/>
                <w:b w:val="0"/>
                <w:bCs/>
                <w:sz w:val="21"/>
                <w:szCs w:val="21"/>
                <w:lang w:val="en-US" w:eastAsia="zh-CN"/>
              </w:rPr>
              <w:t>1</w:t>
            </w:r>
          </w:p>
        </w:tc>
      </w:tr>
      <w:tr w14:paraId="5B351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89FB8BB">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0035514">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机械杂质</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9B29496">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830DAB9">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511—2010</w:t>
            </w:r>
          </w:p>
        </w:tc>
      </w:tr>
      <w:tr w14:paraId="45100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5"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3416BDD">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12</w:t>
            </w:r>
          </w:p>
        </w:tc>
        <w:tc>
          <w:tcPr>
            <w:tcW w:w="2701"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C28481A">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磷</w:t>
            </w:r>
          </w:p>
          <w:p w14:paraId="69B4A430">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lang w:val="en-US" w:eastAsia="zh-CN"/>
              </w:rPr>
              <w:t>磷含量</w:t>
            </w:r>
          </w:p>
        </w:tc>
        <w:tc>
          <w:tcPr>
            <w:tcW w:w="2161"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C6ACBE8">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11122—2006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 11122—2025</w:t>
            </w:r>
          </w:p>
        </w:tc>
        <w:tc>
          <w:tcPr>
            <w:tcW w:w="317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9D49C3D">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lang w:val="en-US" w:eastAsia="zh-CN"/>
              </w:rPr>
              <w:t>NB/SH/T 0824—2010</w:t>
            </w:r>
          </w:p>
          <w:p w14:paraId="08E24F31">
            <w:pPr>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17476—2023</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0631—1996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0749—2004</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0296—1992</w:t>
            </w:r>
          </w:p>
        </w:tc>
      </w:tr>
    </w:tbl>
    <w:p w14:paraId="086DC1FA">
      <w:pPr>
        <w:widowControl w:val="0"/>
        <w:spacing w:after="0" w:line="240" w:lineRule="auto"/>
        <w:jc w:val="both"/>
        <w:rPr>
          <w:rFonts w:ascii="Times New Roman" w:hAnsi="Times New Roman" w:eastAsia="宋体" w:cs="Times New Roman"/>
          <w:color w:val="000000"/>
          <w:kern w:val="2"/>
          <w:sz w:val="21"/>
          <w:szCs w:val="21"/>
          <w:lang w:eastAsia="zh-CN"/>
        </w:rPr>
      </w:pPr>
    </w:p>
    <w:p w14:paraId="420710E0">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执行企业标准、团体标准、地方标准的产品，检验项目参照上述内容执行。</w:t>
      </w:r>
    </w:p>
    <w:p w14:paraId="2A88FEB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1B5883E2">
      <w:pPr>
        <w:widowControl w:val="0"/>
        <w:spacing w:after="0" w:line="440" w:lineRule="exact"/>
        <w:jc w:val="both"/>
        <w:rPr>
          <w:rFonts w:ascii="Times New Roman" w:hAnsi="Times New Roman" w:eastAsia="黑体" w:cs="Times New Roman"/>
          <w:color w:val="000000"/>
          <w:kern w:val="2"/>
          <w:sz w:val="21"/>
          <w:szCs w:val="21"/>
          <w:lang w:eastAsia="zh-CN"/>
        </w:rPr>
      </w:pPr>
    </w:p>
    <w:p w14:paraId="2BD34F17">
      <w:pPr>
        <w:widowControl w:val="0"/>
        <w:spacing w:after="0" w:line="440" w:lineRule="exact"/>
        <w:jc w:val="both"/>
        <w:rPr>
          <w:rFonts w:ascii="Times New Roman" w:hAnsi="Times New Roman" w:eastAsia="黑体" w:cs="Times New Roman"/>
          <w:color w:val="000000"/>
          <w:kern w:val="2"/>
          <w:sz w:val="21"/>
          <w:szCs w:val="21"/>
          <w:lang w:eastAsia="zh-CN"/>
        </w:rPr>
      </w:pPr>
    </w:p>
    <w:p w14:paraId="3CBC1F62">
      <w:pPr>
        <w:widowControl w:val="0"/>
        <w:spacing w:after="0" w:line="440" w:lineRule="exact"/>
        <w:jc w:val="both"/>
        <w:rPr>
          <w:rFonts w:ascii="Times New Roman" w:hAnsi="Times New Roman" w:eastAsia="黑体" w:cs="Times New Roman"/>
          <w:color w:val="000000"/>
          <w:kern w:val="2"/>
          <w:sz w:val="21"/>
          <w:szCs w:val="21"/>
          <w:lang w:eastAsia="zh-CN"/>
        </w:rPr>
      </w:pPr>
      <w:bookmarkStart w:id="0" w:name="_GoBack"/>
      <w:bookmarkEnd w:id="0"/>
      <w:r>
        <w:rPr>
          <w:rFonts w:ascii="Times New Roman" w:hAnsi="Times New Roman" w:eastAsia="黑体" w:cs="Times New Roman"/>
          <w:color w:val="000000"/>
          <w:kern w:val="2"/>
          <w:sz w:val="21"/>
          <w:szCs w:val="21"/>
          <w:lang w:eastAsia="zh-CN"/>
        </w:rPr>
        <w:t>3 判定规则</w:t>
      </w:r>
    </w:p>
    <w:p w14:paraId="51147E46">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3.1 依据标准</w:t>
      </w:r>
    </w:p>
    <w:p w14:paraId="3933D051">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GB 11121—2006 汽油机油</w:t>
      </w:r>
    </w:p>
    <w:p w14:paraId="2256EF75">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GB 11121—2025 汽油机油</w:t>
      </w:r>
    </w:p>
    <w:p w14:paraId="1294DD08">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GB 11122—2006 柴油机油</w:t>
      </w:r>
    </w:p>
    <w:p w14:paraId="625C55FC">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GB 11122—2025 柴油机油</w:t>
      </w:r>
    </w:p>
    <w:p w14:paraId="5BBA333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现行有效的企业标准、团体标准、地方标准及产品明示质量要求</w:t>
      </w:r>
    </w:p>
    <w:p w14:paraId="738F82C5">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3.2 判定原则</w:t>
      </w:r>
    </w:p>
    <w:p w14:paraId="2177AA9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4E76470D">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若被检产品明示的质量要求高于本细则中检验项目依据的标准要求时，应按被检产品明示的质量要求判定。</w:t>
      </w:r>
    </w:p>
    <w:p w14:paraId="1515CC88">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若被检产品明示的质量要求低于本细则中检验项目依据的强制性标准要求时，应按照强制性标准要求判定。</w:t>
      </w:r>
    </w:p>
    <w:p w14:paraId="5CC3E06F">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若被检产品明示的质量要求低于或包含本细则中检验项目依据的推荐性标准要求时，应以被检产品明示的质量要求判定。</w:t>
      </w:r>
    </w:p>
    <w:p w14:paraId="54067D5F">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若被检产品明示的质量要求缺少本细则中检验项目依据的强制性标准要求时，应按照强制性标准要求判定。</w:t>
      </w:r>
    </w:p>
    <w:p w14:paraId="512DC7D1">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86079205-9739-44C8-B8EE-470C1885D3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36FE827F-83AD-4B85-83BE-EB6DC8BFA54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2321767"/>
    <w:rsid w:val="229E7CD7"/>
    <w:rsid w:val="23236E35"/>
    <w:rsid w:val="26506D9A"/>
    <w:rsid w:val="321E371D"/>
    <w:rsid w:val="32760BB5"/>
    <w:rsid w:val="33501F9F"/>
    <w:rsid w:val="342713F4"/>
    <w:rsid w:val="38BB5D8F"/>
    <w:rsid w:val="3DBF1D25"/>
    <w:rsid w:val="49763D15"/>
    <w:rsid w:val="50984D01"/>
    <w:rsid w:val="558A0B6B"/>
    <w:rsid w:val="579F6C31"/>
    <w:rsid w:val="59657925"/>
    <w:rsid w:val="6A2C766F"/>
    <w:rsid w:val="7495214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6"/>
    <w:qFormat/>
    <w:uiPriority w:val="99"/>
  </w:style>
  <w:style w:type="character" w:customStyle="1" w:styleId="137">
    <w:name w:val="Footer Char"/>
    <w:basedOn w:val="133"/>
    <w:link w:val="25"/>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0"/>
    <w:qFormat/>
    <w:uiPriority w:val="99"/>
  </w:style>
  <w:style w:type="character" w:customStyle="1" w:styleId="146">
    <w:name w:val="Body Text 2 Char"/>
    <w:basedOn w:val="133"/>
    <w:link w:val="29"/>
    <w:qFormat/>
    <w:uiPriority w:val="99"/>
  </w:style>
  <w:style w:type="character" w:customStyle="1" w:styleId="147">
    <w:name w:val="Body Text 3 Char"/>
    <w:basedOn w:val="133"/>
    <w:link w:val="18"/>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1034</Words>
  <Characters>2039</Characters>
  <Lines>0</Lines>
  <Paragraphs>0</Paragraphs>
  <TotalTime>23</TotalTime>
  <ScaleCrop>false</ScaleCrop>
  <LinksUpToDate>false</LinksUpToDate>
  <CharactersWithSpaces>2142</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zw</cp:lastModifiedBy>
  <dcterms:modified xsi:type="dcterms:W3CDTF">2026-07-02T02:18:27Z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eyJoZGlkIjoiYjU4YTEyOWI0YTA1NzExMDUyM2E4NzRjZjM1MmQ2OWEiLCJ1c2VySWQiOiIxMTI2NTcyODI0In0=</vt:lpwstr>
  </property>
  <property fmtid="{D5CDD505-2E9C-101B-9397-08002B2CF9AE}" pid="3" name="KSOProductBuildVer">
    <vt:lpwstr>2052-12.1.0.23122</vt:lpwstr>
  </property>
  <property fmtid="{D5CDD505-2E9C-101B-9397-08002B2CF9AE}" pid="4" name="ICV">
    <vt:lpwstr>94F73B8238E042449A7EE870F09E28CD_13</vt:lpwstr>
  </property>
</Properties>
</file>